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6F" w:rsidRDefault="00D45B6F" w:rsidP="00D45B6F">
      <w:pPr>
        <w:pStyle w:val="ConsPlusNormal"/>
        <w:jc w:val="center"/>
        <w:outlineLvl w:val="1"/>
      </w:pPr>
      <w:r>
        <w:t>Критерии доступности и качества медицинской помощи</w:t>
      </w:r>
    </w:p>
    <w:p w:rsidR="00D45B6F" w:rsidRDefault="00D45B6F" w:rsidP="00D45B6F">
      <w:pPr>
        <w:pStyle w:val="ConsPlusNormal"/>
        <w:ind w:firstLine="540"/>
        <w:jc w:val="both"/>
      </w:pPr>
    </w:p>
    <w:p w:rsidR="00D45B6F" w:rsidRDefault="00D45B6F" w:rsidP="00D45B6F">
      <w:pPr>
        <w:pStyle w:val="ConsPlusNormal"/>
        <w:ind w:firstLine="540"/>
        <w:jc w:val="both"/>
      </w:pPr>
      <w:r>
        <w:t>Критериями качества оказания медицинской помощи являются: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 xml:space="preserve">1) удовлетворенность населения медицинской помощью, в том числе городского и сельского населения (% от числа </w:t>
      </w:r>
      <w:proofErr w:type="gramStart"/>
      <w:r>
        <w:t>опрошенных</w:t>
      </w:r>
      <w:proofErr w:type="gramEnd"/>
      <w:r>
        <w:t>), - 82%; городского населения - 86%, сельского населения - 72%;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2) смертность населения в трудоспособном возрасте (число умерших в трудоспособном возрасте на 100 тыс. человек трудоспособного возраста) - 550;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 xml:space="preserve">3) доля </w:t>
      </w:r>
      <w:proofErr w:type="gramStart"/>
      <w:r>
        <w:t>умерших</w:t>
      </w:r>
      <w:proofErr w:type="gramEnd"/>
      <w:r>
        <w:t xml:space="preserve"> в трудоспособном возрасте на дому в общем количестве умерших в трудоспособном возрасте - 31,2%;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4) материнская смертность (на 100 тыс. человек, родившихся живыми) - 11,4;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5) младенческая смертность (на 1000 человек, родившихся живыми, в том числе в городской и сельской местности) - 6,0; городского населения - 5,8; сельского населения - 6,1;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 xml:space="preserve">6) доля </w:t>
      </w:r>
      <w:proofErr w:type="gramStart"/>
      <w:r>
        <w:t>умерших</w:t>
      </w:r>
      <w:proofErr w:type="gramEnd"/>
      <w:r>
        <w:t xml:space="preserve"> в возрасте до 1 года на дому в общем количестве умерших в возрасте до 1 года - не более 10%;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7) смертность детей в возрасте 0 - 4 лет (на 1000 родившихся живыми) - 9,8;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8) смертность населения, в том числе городского и сельского (число умерших на 1000 человек населения) - 15,7; городского населения - 15,1; сельского - 16,7;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9) доля умерших в возрасте 0 - 4 лет на дому в общем количестве умерших в возрасте 0 - 4 лет - не более 10%;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10) смертность детей в возрасте 0 - 17 лет (на 100 тыс. человек населения соответствующего возраста) - 78,0;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11) доля умерших в возрасте 0 - 17 лет на дому в общем количестве умерших в возрасте 0 - 17 лет - не более 10%;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12)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- 54,8%;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13) доля впервые выявленных случаев фиброзно-кавернозного туберкулеза в общем количестве выявленных случаев туберкулеза в течение года - 0,5%;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14) доля впервые выявленных случаев онкологических заболеваний на ранних стадиях (</w:t>
      </w:r>
      <w:proofErr w:type="spellStart"/>
      <w:r>
        <w:t>I</w:t>
      </w:r>
      <w:proofErr w:type="spellEnd"/>
      <w:r>
        <w:t xml:space="preserve"> и </w:t>
      </w:r>
      <w:proofErr w:type="spellStart"/>
      <w:r>
        <w:t>II</w:t>
      </w:r>
      <w:proofErr w:type="spellEnd"/>
      <w:r>
        <w:t xml:space="preserve"> стадиях) в общем количестве выявленных случаев онкологических заболеваний в течение года - 54,8%;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 xml:space="preserve">15) 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12 часов с момента начала заболевания, в общем количестве госпитализированных пациентов с инфарктом миокарда - 46,9%;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 xml:space="preserve">16) 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имеющим показания к ее проведению, - 30,0%;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 xml:space="preserve">17) 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ее проведению, - 80,0%;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proofErr w:type="gramStart"/>
      <w:r>
        <w:t xml:space="preserve">18) 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- 5,1%;</w:t>
      </w:r>
      <w:proofErr w:type="gramEnd"/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 xml:space="preserve">19) доля пациентов с острыми цереброваскулярными болезнями, госпитализированных </w:t>
      </w:r>
      <w:proofErr w:type="gramStart"/>
      <w:r>
        <w:t xml:space="preserve">в </w:t>
      </w:r>
      <w:r>
        <w:lastRenderedPageBreak/>
        <w:t>первые</w:t>
      </w:r>
      <w:proofErr w:type="gramEnd"/>
      <w:r>
        <w:t xml:space="preserve"> 6 часов с момента начала заболевания, в общем количестве госпитализированных пациентов с острыми цереброваскулярными болезнями - 40%;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 xml:space="preserve">20) 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 </w:t>
      </w:r>
      <w:proofErr w:type="gramStart"/>
      <w:r>
        <w:t>в первые</w:t>
      </w:r>
      <w:proofErr w:type="gramEnd"/>
      <w:r>
        <w:t xml:space="preserve"> 6 часов госпитализации, в общем количестве пациентов с острым ишемическим инсультом, имеющим показания к ее проведению, - 90%;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21) количество обоснованных жалоб, в том числе на отказ в оказании медицинской помощи, предоставляемой в рамках территориальной программы, - 80.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Критериями доступности медицинской помощи являются: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1) обеспеченность населения врачами (на 10 тыс. человек населения), в том числе оказывающими медицинскую помощь в амбулаторных и стационарных условиях, всего - 34,0, из них: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городского населения (на 10 тыс. человек населения) - 51,2;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сельского населения (на 10 тыс. человек населения) - 7,1;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proofErr w:type="gramStart"/>
      <w:r>
        <w:t>оказывающими</w:t>
      </w:r>
      <w:proofErr w:type="gramEnd"/>
      <w:r>
        <w:t xml:space="preserve"> медицинскую помощь в амбулаторных условиях (на 10 тыс. человек населения) - 17,7, стационарных условиях (на 10 тыс. человек населения) - 14,5;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2) 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условиях, всего - 104,1, из них: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городского населения (на 10 тыс. человек населения) - 136,6;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сельского населения (на 10 тыс. человек населения) - 34,4;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proofErr w:type="gramStart"/>
      <w:r>
        <w:t>оказывающим</w:t>
      </w:r>
      <w:proofErr w:type="gramEnd"/>
      <w:r>
        <w:t xml:space="preserve"> медицинскую помощь в амбулаторных условиях - 43,0;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proofErr w:type="gramStart"/>
      <w:r>
        <w:t>оказывающим</w:t>
      </w:r>
      <w:proofErr w:type="gramEnd"/>
      <w:r>
        <w:t xml:space="preserve"> медицинскую помощь в стационарных условиях - 51,2;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3) доля расходов на оказание медицинской помощи в условиях дневных стационаров от общего количества расходов в общих расходах на территориальную программу - 6,7;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4) доля расходов на оказание медицинской помощи в амбулаторных условиях в неотложной форме от общего количества расходов на территориальную программу - 2,23;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5) доля детей, охваченных профилактическими медицинскими осмотрами, - 90%, в том числе городских (90,0%) и сельских жителей (90,0%);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proofErr w:type="gramStart"/>
      <w:r>
        <w:t>6)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от общего числа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- 1,4%;</w:t>
      </w:r>
      <w:proofErr w:type="gramEnd"/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7) число лиц, проживающих в сельской местности, которым оказана скорая медицинская помощь (на 1000 человек сельского населения), - 214,7;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8) доля фельдшерско-акушерских пунктов и фельдшерских пунктов, находящихся в аварийном состоянии и требующих капитального ремонта, от общего количества фельдшерско-акушерских пунктов и фельдшерских пунктов - 80%;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9)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- 3%;</w:t>
      </w:r>
    </w:p>
    <w:p w:rsidR="00D45B6F" w:rsidRDefault="00D45B6F" w:rsidP="00D45B6F">
      <w:pPr>
        <w:pStyle w:val="ConsPlusNormal"/>
        <w:spacing w:before="200"/>
        <w:ind w:firstLine="540"/>
        <w:jc w:val="both"/>
      </w:pPr>
      <w:r>
        <w:t>10) доля женщин, которым проведено экстракорпоральное оплодотворение, в общем количестве женщин с бесплодием - 20%.</w:t>
      </w:r>
    </w:p>
    <w:p w:rsidR="00D45B6F" w:rsidRDefault="00D45B6F" w:rsidP="00D45B6F">
      <w:pPr>
        <w:pStyle w:val="ConsPlusNormal"/>
        <w:ind w:firstLine="540"/>
        <w:jc w:val="both"/>
      </w:pPr>
    </w:p>
    <w:p w:rsidR="00CE425A" w:rsidRDefault="00D45B6F"/>
    <w:sectPr w:rsidR="00CE425A" w:rsidSect="007A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B6F"/>
    <w:rsid w:val="000D5458"/>
    <w:rsid w:val="00297A13"/>
    <w:rsid w:val="002A0E91"/>
    <w:rsid w:val="003C4C51"/>
    <w:rsid w:val="004C3C69"/>
    <w:rsid w:val="0055060B"/>
    <w:rsid w:val="005924FA"/>
    <w:rsid w:val="00693BBA"/>
    <w:rsid w:val="007A6D82"/>
    <w:rsid w:val="00953CAB"/>
    <w:rsid w:val="00A52F51"/>
    <w:rsid w:val="00B31E9D"/>
    <w:rsid w:val="00B956DF"/>
    <w:rsid w:val="00D45B6F"/>
    <w:rsid w:val="00DC4A9E"/>
    <w:rsid w:val="00E33377"/>
    <w:rsid w:val="00E5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Zakup3</dc:creator>
  <cp:lastModifiedBy>Zakup3</cp:lastModifiedBy>
  <cp:revision>1</cp:revision>
  <dcterms:created xsi:type="dcterms:W3CDTF">2018-05-03T13:26:00Z</dcterms:created>
  <dcterms:modified xsi:type="dcterms:W3CDTF">2018-05-03T13:27:00Z</dcterms:modified>
</cp:coreProperties>
</file>